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412F9DF5" w:rsidR="00CE7E48" w:rsidRPr="00724D91" w:rsidRDefault="00CE7E48" w:rsidP="00CE7E48">
      <w:pPr>
        <w:jc w:val="center"/>
        <w:rPr>
          <w:rFonts w:ascii="Tahoma" w:hAnsi="Tahoma" w:cs="Tahoma"/>
          <w:i/>
          <w:iCs/>
        </w:rPr>
      </w:pPr>
      <w:r w:rsidRPr="00724D91">
        <w:rPr>
          <w:rFonts w:ascii="Tahoma" w:hAnsi="Tahoma" w:cs="Tahoma"/>
          <w:iCs/>
        </w:rPr>
        <w:t>Special Meeting of Directors</w:t>
      </w:r>
    </w:p>
    <w:p w14:paraId="26BEAD69" w14:textId="66989A13" w:rsidR="00CE7E48" w:rsidRPr="00724D91" w:rsidRDefault="003A5CAE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April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1</w:t>
      </w:r>
      <w:r w:rsidR="00CE7E48" w:rsidRPr="00724D91">
        <w:rPr>
          <w:rFonts w:ascii="Tahoma" w:hAnsi="Tahoma" w:cs="Tahoma"/>
          <w:i/>
          <w:iCs/>
        </w:rPr>
        <w:t>, 2021</w:t>
      </w:r>
    </w:p>
    <w:p w14:paraId="7C0F6F34" w14:textId="70904131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492C774E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special meeting of the Board of Directors of the Greenwood Wildcat Foundation was held on </w:t>
      </w:r>
      <w:r w:rsidR="003A5CAE">
        <w:rPr>
          <w:color w:val="434343"/>
        </w:rPr>
        <w:t>April</w:t>
      </w:r>
      <w:r w:rsidRPr="00724D91">
        <w:rPr>
          <w:color w:val="434343"/>
        </w:rPr>
        <w:t xml:space="preserve"> 2</w:t>
      </w:r>
      <w:r w:rsidR="003A5CAE">
        <w:rPr>
          <w:color w:val="434343"/>
        </w:rPr>
        <w:t>1</w:t>
      </w:r>
      <w:r w:rsidRPr="00724D91">
        <w:rPr>
          <w:color w:val="434343"/>
        </w:rPr>
        <w:t>, 2021, beginning at 7:0</w:t>
      </w:r>
      <w:r w:rsidR="003A5CAE">
        <w:rPr>
          <w:color w:val="434343"/>
        </w:rPr>
        <w:t>2</w:t>
      </w:r>
      <w:r w:rsidRPr="00724D91">
        <w:rPr>
          <w:color w:val="434343"/>
        </w:rPr>
        <w:t xml:space="preserve"> p.m. and ending at </w:t>
      </w:r>
      <w:r w:rsidRPr="00FF5304">
        <w:rPr>
          <w:color w:val="434343"/>
        </w:rPr>
        <w:t>8:0</w:t>
      </w:r>
      <w:r w:rsidR="00FF5304" w:rsidRPr="00FF5304">
        <w:rPr>
          <w:color w:val="434343"/>
        </w:rPr>
        <w:t>5</w:t>
      </w:r>
      <w:r w:rsidRPr="00724D91">
        <w:rPr>
          <w:color w:val="434343"/>
        </w:rPr>
        <w:t xml:space="preserve"> p.m. </w:t>
      </w:r>
    </w:p>
    <w:p w14:paraId="24CB1714" w14:textId="0D3E9B05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  <w:t xml:space="preserve">Bryan Aungst, Mary Lou Blair, </w:t>
      </w:r>
      <w:r w:rsidR="003A5CAE">
        <w:rPr>
          <w:color w:val="434343"/>
        </w:rPr>
        <w:t xml:space="preserve">Lori Bryner, </w:t>
      </w:r>
      <w:r w:rsidRPr="00724D91">
        <w:rPr>
          <w:color w:val="434343"/>
        </w:rPr>
        <w:t>Gil Davis, Dr. Nicholas Guarente, Michael Hartley, Robin Holman Loy, Holly Gorman</w:t>
      </w:r>
    </w:p>
    <w:p w14:paraId="1E411E4E" w14:textId="35CDD03B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7E56BF" w:rsidRPr="00724D91">
        <w:rPr>
          <w:color w:val="434343"/>
        </w:rPr>
        <w:t xml:space="preserve">Dan Cameron, </w:t>
      </w:r>
      <w:r w:rsidRPr="00724D91">
        <w:rPr>
          <w:color w:val="434343"/>
        </w:rPr>
        <w:t>Kelly Sherman</w:t>
      </w:r>
    </w:p>
    <w:p w14:paraId="479906E4" w14:textId="7323406F" w:rsidR="00CE7E48" w:rsidRPr="00724D91" w:rsidRDefault="00CE7E48" w:rsidP="00CE7E48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</w:t>
      </w:r>
      <w:r w:rsidR="003A5CAE">
        <w:rPr>
          <w:color w:val="434343"/>
        </w:rPr>
        <w:t>02</w:t>
      </w:r>
      <w:r w:rsidRPr="00724D91">
        <w:rPr>
          <w:color w:val="434343"/>
        </w:rPr>
        <w:t xml:space="preserve"> p.m. </w:t>
      </w:r>
      <w:r w:rsidRPr="00724D91">
        <w:rPr>
          <w:color w:val="434343"/>
        </w:rPr>
        <w:br/>
      </w:r>
      <w:r w:rsidRPr="00724D91">
        <w:rPr>
          <w:color w:val="434343"/>
        </w:rPr>
        <w:br/>
        <w:t xml:space="preserve">The minutes from the </w:t>
      </w:r>
      <w:r w:rsidR="003A5CAE">
        <w:rPr>
          <w:color w:val="434343"/>
        </w:rPr>
        <w:t>March</w:t>
      </w:r>
      <w:r w:rsidR="00EB7880">
        <w:rPr>
          <w:color w:val="434343"/>
        </w:rPr>
        <w:t xml:space="preserve"> 24</w:t>
      </w:r>
      <w:r w:rsidRPr="00724D91">
        <w:rPr>
          <w:color w:val="434343"/>
        </w:rPr>
        <w:t xml:space="preserve"> meeting were accepted by consensus. </w:t>
      </w:r>
    </w:p>
    <w:p w14:paraId="54AA2D1F" w14:textId="77777777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  <w:r w:rsidRPr="00724D91">
        <w:rPr>
          <w:color w:val="434343"/>
        </w:rPr>
        <w:br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CE7E48" w:rsidRPr="00724D91" w14:paraId="47F7A1EF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1F91E55E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B18F83A" w14:textId="0A64DE6F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CC7AD5">
              <w:rPr>
                <w:color w:val="434343"/>
              </w:rPr>
              <w:t>6</w:t>
            </w:r>
            <w:r w:rsidRPr="00724D91">
              <w:rPr>
                <w:color w:val="434343"/>
              </w:rPr>
              <w:t>,</w:t>
            </w:r>
            <w:r w:rsidR="00CC7AD5">
              <w:rPr>
                <w:color w:val="434343"/>
              </w:rPr>
              <w:t>241</w:t>
            </w:r>
            <w:r w:rsidRPr="00724D91">
              <w:rPr>
                <w:color w:val="434343"/>
              </w:rPr>
              <w:t>.00</w:t>
            </w:r>
          </w:p>
        </w:tc>
      </w:tr>
      <w:tr w:rsidR="00CE7E48" w:rsidRPr="00724D91" w14:paraId="3C745F85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020C3800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29CD1A3D" w14:textId="18BF0454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CC7AD5">
              <w:rPr>
                <w:color w:val="434343"/>
              </w:rPr>
              <w:t>2</w:t>
            </w:r>
            <w:r w:rsidRPr="00724D91">
              <w:rPr>
                <w:color w:val="434343"/>
              </w:rPr>
              <w:t>,</w:t>
            </w:r>
            <w:r w:rsidR="00CC7AD5">
              <w:rPr>
                <w:color w:val="434343"/>
              </w:rPr>
              <w:t>601</w:t>
            </w:r>
            <w:r w:rsidRPr="00724D91">
              <w:rPr>
                <w:color w:val="434343"/>
              </w:rPr>
              <w:t>.</w:t>
            </w:r>
            <w:r w:rsidR="00CC7AD5">
              <w:rPr>
                <w:color w:val="434343"/>
              </w:rPr>
              <w:t>37</w:t>
            </w:r>
          </w:p>
        </w:tc>
      </w:tr>
      <w:tr w:rsidR="00CE7E48" w:rsidRPr="00724D91" w14:paraId="34CF7B6D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57813520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12DFF53A" w14:textId="76F73934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CC7AD5">
              <w:rPr>
                <w:color w:val="434343"/>
              </w:rPr>
              <w:t>8</w:t>
            </w:r>
            <w:r w:rsidRPr="00724D91">
              <w:rPr>
                <w:color w:val="434343"/>
              </w:rPr>
              <w:t>,</w:t>
            </w:r>
            <w:r w:rsidR="00CC7AD5">
              <w:rPr>
                <w:color w:val="434343"/>
              </w:rPr>
              <w:t>842</w:t>
            </w:r>
            <w:r w:rsidRPr="00724D91">
              <w:rPr>
                <w:color w:val="434343"/>
              </w:rPr>
              <w:t>.</w:t>
            </w:r>
            <w:r w:rsidR="00CC7AD5">
              <w:rPr>
                <w:color w:val="434343"/>
              </w:rPr>
              <w:t>37</w:t>
            </w:r>
          </w:p>
        </w:tc>
      </w:tr>
    </w:tbl>
    <w:p w14:paraId="050438E9" w14:textId="6FB84159" w:rsidR="00BD4429" w:rsidRPr="00724D91" w:rsidRDefault="00BD4429">
      <w:pPr>
        <w:rPr>
          <w:rFonts w:ascii="Tahoma" w:hAnsi="Tahoma" w:cs="Tahoma"/>
          <w:sz w:val="18"/>
          <w:szCs w:val="18"/>
        </w:rPr>
      </w:pPr>
    </w:p>
    <w:p w14:paraId="22952273" w14:textId="4E576846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 xml:space="preserve">EITC </w:t>
      </w:r>
    </w:p>
    <w:p w14:paraId="0AAFEA79" w14:textId="002CA51E" w:rsidR="00724D91" w:rsidRPr="003F1E38" w:rsidRDefault="00EB7880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3F1E38">
        <w:rPr>
          <w:color w:val="434343"/>
        </w:rPr>
        <w:t>Mike</w:t>
      </w:r>
      <w:r w:rsidR="00BA5997" w:rsidRPr="003F1E38">
        <w:rPr>
          <w:color w:val="434343"/>
        </w:rPr>
        <w:t xml:space="preserve"> compiled </w:t>
      </w:r>
      <w:r w:rsidR="00331346">
        <w:rPr>
          <w:color w:val="434343"/>
        </w:rPr>
        <w:t xml:space="preserve">EITC </w:t>
      </w:r>
      <w:r w:rsidR="00BA5997" w:rsidRPr="003F1E38">
        <w:rPr>
          <w:color w:val="434343"/>
        </w:rPr>
        <w:t>language for website. Dan will review</w:t>
      </w:r>
      <w:r w:rsidRPr="003F1E38">
        <w:rPr>
          <w:color w:val="434343"/>
        </w:rPr>
        <w:t xml:space="preserve"> and forward agreed upon text to Holly.</w:t>
      </w:r>
    </w:p>
    <w:p w14:paraId="1C2E5A66" w14:textId="7EA5253A" w:rsidR="00724D91" w:rsidRPr="003F1E38" w:rsidRDefault="00EB7880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3F1E38">
        <w:rPr>
          <w:color w:val="434343"/>
        </w:rPr>
        <w:t>T</w:t>
      </w:r>
      <w:r w:rsidR="00733123" w:rsidRPr="003F1E38">
        <w:rPr>
          <w:color w:val="434343"/>
        </w:rPr>
        <w:t>he t</w:t>
      </w:r>
      <w:r w:rsidRPr="003F1E38">
        <w:rPr>
          <w:color w:val="434343"/>
        </w:rPr>
        <w:t xml:space="preserve">wo </w:t>
      </w:r>
      <w:r w:rsidR="00733123" w:rsidRPr="003F1E38">
        <w:rPr>
          <w:color w:val="434343"/>
        </w:rPr>
        <w:t>a</w:t>
      </w:r>
      <w:r w:rsidR="00724D91" w:rsidRPr="003F1E38">
        <w:rPr>
          <w:color w:val="434343"/>
        </w:rPr>
        <w:t xml:space="preserve">pproved </w:t>
      </w:r>
      <w:r w:rsidR="00733123" w:rsidRPr="003F1E38">
        <w:rPr>
          <w:color w:val="434343"/>
        </w:rPr>
        <w:t>EITC p</w:t>
      </w:r>
      <w:r w:rsidR="00724D91" w:rsidRPr="003F1E38">
        <w:rPr>
          <w:color w:val="434343"/>
        </w:rPr>
        <w:t>rograms</w:t>
      </w:r>
      <w:r w:rsidRPr="003F1E38">
        <w:rPr>
          <w:color w:val="434343"/>
        </w:rPr>
        <w:t xml:space="preserve"> are dual enrollment </w:t>
      </w:r>
      <w:r w:rsidR="00733123" w:rsidRPr="003F1E38">
        <w:rPr>
          <w:color w:val="434343"/>
        </w:rPr>
        <w:t>classes</w:t>
      </w:r>
      <w:r w:rsidRPr="003F1E38">
        <w:rPr>
          <w:color w:val="434343"/>
        </w:rPr>
        <w:t xml:space="preserve"> and AP courses. Remember that we can offer additional programs. We must submit narrative to statewide project manager</w:t>
      </w:r>
      <w:r w:rsidR="00DE6E1D" w:rsidRPr="003F1E38">
        <w:rPr>
          <w:color w:val="434343"/>
        </w:rPr>
        <w:t xml:space="preserve"> for approval</w:t>
      </w:r>
      <w:r w:rsidRPr="003F1E38">
        <w:rPr>
          <w:color w:val="434343"/>
        </w:rPr>
        <w:t>.</w:t>
      </w:r>
    </w:p>
    <w:p w14:paraId="20921ED4" w14:textId="63DD5D52" w:rsidR="00BA5997" w:rsidRDefault="00BA5997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3F1E38">
        <w:rPr>
          <w:color w:val="434343"/>
        </w:rPr>
        <w:t>Mike offered two Educational Improvement Tax Credit presentations/fact sheets documentations that would further explain what the dollars would fund.</w:t>
      </w:r>
    </w:p>
    <w:p w14:paraId="3E5202F5" w14:textId="5A934DE9" w:rsidR="00BA5997" w:rsidRDefault="00BA5997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April –EITC renewal.</w:t>
      </w:r>
    </w:p>
    <w:p w14:paraId="3EF19ADD" w14:textId="77777777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</w:p>
    <w:p w14:paraId="0FA7AE2D" w14:textId="20104A89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>Strategic Plan</w:t>
      </w:r>
      <w:r w:rsidR="00F269C1">
        <w:rPr>
          <w:b/>
          <w:color w:val="434343"/>
        </w:rPr>
        <w:t xml:space="preserve"> / Goals</w:t>
      </w:r>
    </w:p>
    <w:p w14:paraId="4931EB28" w14:textId="4D74A215" w:rsidR="00724D91" w:rsidRDefault="00733123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We r</w:t>
      </w:r>
      <w:r w:rsidR="00EB7880">
        <w:rPr>
          <w:color w:val="434343"/>
        </w:rPr>
        <w:t>eviewed</w:t>
      </w:r>
      <w:r w:rsidR="00C36BB0">
        <w:rPr>
          <w:color w:val="434343"/>
        </w:rPr>
        <w:t xml:space="preserve"> and agreed upon</w:t>
      </w:r>
      <w:r w:rsidR="00BA5997">
        <w:rPr>
          <w:color w:val="434343"/>
        </w:rPr>
        <w:t xml:space="preserve"> the goal items. </w:t>
      </w:r>
      <w:r w:rsidR="00C36BB0">
        <w:rPr>
          <w:color w:val="434343"/>
        </w:rPr>
        <w:t xml:space="preserve">The goals are cyclical. We must be reflective and mindful of what we’ve done and where we’ve been. </w:t>
      </w:r>
    </w:p>
    <w:p w14:paraId="0E7AE982" w14:textId="7B667B8F" w:rsidR="00C36BB0" w:rsidRDefault="00C36BB0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Can we include sponsorship for tasks 4B</w:t>
      </w:r>
      <w:r w:rsidR="003F1E38">
        <w:rPr>
          <w:color w:val="434343"/>
        </w:rPr>
        <w:t xml:space="preserve"> (internships, associate degrees) </w:t>
      </w:r>
      <w:r>
        <w:rPr>
          <w:color w:val="434343"/>
        </w:rPr>
        <w:t>and 4C</w:t>
      </w:r>
      <w:r w:rsidR="003F1E38">
        <w:rPr>
          <w:color w:val="434343"/>
        </w:rPr>
        <w:t xml:space="preserve"> (transportation, equipment)</w:t>
      </w:r>
      <w:r>
        <w:rPr>
          <w:color w:val="434343"/>
        </w:rPr>
        <w:t xml:space="preserve"> to front costs for students? </w:t>
      </w:r>
      <w:r w:rsidR="007E56BF">
        <w:rPr>
          <w:color w:val="434343"/>
        </w:rPr>
        <w:t>We can</w:t>
      </w:r>
      <w:r>
        <w:rPr>
          <w:color w:val="434343"/>
        </w:rPr>
        <w:t xml:space="preserve"> submit</w:t>
      </w:r>
      <w:r w:rsidR="007E56BF">
        <w:rPr>
          <w:color w:val="434343"/>
        </w:rPr>
        <w:t xml:space="preserve"> details</w:t>
      </w:r>
      <w:r>
        <w:rPr>
          <w:color w:val="434343"/>
        </w:rPr>
        <w:t xml:space="preserve"> to state for approval for recommended programs. </w:t>
      </w:r>
      <w:r w:rsidR="007E56BF">
        <w:rPr>
          <w:color w:val="434343"/>
        </w:rPr>
        <w:t>The foundation c</w:t>
      </w:r>
      <w:r>
        <w:rPr>
          <w:color w:val="434343"/>
        </w:rPr>
        <w:t xml:space="preserve">an also have sponsorships outside of EITC. </w:t>
      </w:r>
      <w:r w:rsidR="007E56BF">
        <w:rPr>
          <w:color w:val="434343"/>
        </w:rPr>
        <w:t>We have u</w:t>
      </w:r>
      <w:r>
        <w:rPr>
          <w:color w:val="434343"/>
        </w:rPr>
        <w:t xml:space="preserve">nique situations where someone can donate to the foundation as a 501C3 organization, where there are less restrictions. </w:t>
      </w:r>
      <w:r w:rsidR="007E56BF">
        <w:rPr>
          <w:color w:val="434343"/>
        </w:rPr>
        <w:t xml:space="preserve">We have to create parameters for ear marked funds. For example, Cumberland Perry Vo-Tech recently created a fire program – equipment is several hundred dollars. The </w:t>
      </w:r>
      <w:r w:rsidR="007E56BF">
        <w:rPr>
          <w:color w:val="434343"/>
        </w:rPr>
        <w:lastRenderedPageBreak/>
        <w:t>district will pay for the program costs, but the student is to pay for the equipment. Someone can sponsor a child to fill a specific need.</w:t>
      </w:r>
    </w:p>
    <w:p w14:paraId="259F1D87" w14:textId="43F8AE9F" w:rsidR="001C5DAA" w:rsidRDefault="001C5DAA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Task 1A – Mike – Maintain EITC status</w:t>
      </w:r>
    </w:p>
    <w:p w14:paraId="33EADC70" w14:textId="04372A28" w:rsidR="00E6462E" w:rsidRDefault="001C5DAA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Tasks 1C </w:t>
      </w:r>
      <w:r w:rsidR="00E6462E">
        <w:rPr>
          <w:color w:val="434343"/>
        </w:rPr>
        <w:t xml:space="preserve">– Robin </w:t>
      </w:r>
    </w:p>
    <w:p w14:paraId="5358F14F" w14:textId="2D811091" w:rsidR="00E6462E" w:rsidRDefault="00E6462E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Task 2A - Gil</w:t>
      </w:r>
    </w:p>
    <w:p w14:paraId="252C4978" w14:textId="0A32E01F" w:rsidR="001C5DAA" w:rsidRDefault="00E6462E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Tasks </w:t>
      </w:r>
      <w:r w:rsidR="001C5DAA">
        <w:rPr>
          <w:color w:val="434343"/>
        </w:rPr>
        <w:t>3B – Robin</w:t>
      </w:r>
      <w:r>
        <w:rPr>
          <w:color w:val="434343"/>
        </w:rPr>
        <w:t xml:space="preserve"> &amp; Holly</w:t>
      </w:r>
      <w:r w:rsidR="001C5DAA">
        <w:rPr>
          <w:color w:val="434343"/>
        </w:rPr>
        <w:t xml:space="preserve"> –language </w:t>
      </w:r>
      <w:r>
        <w:rPr>
          <w:color w:val="434343"/>
        </w:rPr>
        <w:t>f</w:t>
      </w:r>
      <w:r w:rsidR="001C5DAA">
        <w:rPr>
          <w:color w:val="434343"/>
        </w:rPr>
        <w:t>o</w:t>
      </w:r>
      <w:r>
        <w:rPr>
          <w:color w:val="434343"/>
        </w:rPr>
        <w:t>r</w:t>
      </w:r>
      <w:r w:rsidR="001C5DAA">
        <w:rPr>
          <w:color w:val="434343"/>
        </w:rPr>
        <w:t xml:space="preserve"> the website</w:t>
      </w:r>
      <w:r>
        <w:rPr>
          <w:color w:val="434343"/>
        </w:rPr>
        <w:t>; cost of a donate button</w:t>
      </w:r>
    </w:p>
    <w:p w14:paraId="5A5C25EF" w14:textId="3E816135" w:rsidR="001C5DAA" w:rsidRDefault="001C5DAA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Tasks 1B &amp; 3A </w:t>
      </w:r>
      <w:r w:rsidR="00E6462E">
        <w:rPr>
          <w:color w:val="434343"/>
        </w:rPr>
        <w:t>–</w:t>
      </w:r>
      <w:r>
        <w:rPr>
          <w:color w:val="434343"/>
        </w:rPr>
        <w:t xml:space="preserve"> Bryan</w:t>
      </w:r>
    </w:p>
    <w:p w14:paraId="225E48C2" w14:textId="14EBFC09" w:rsidR="00DE6E1D" w:rsidRDefault="00E6462E" w:rsidP="00E6462E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Tasks 4A, 4B and 4C – Dr. G</w:t>
      </w:r>
    </w:p>
    <w:p w14:paraId="0C438400" w14:textId="77777777" w:rsidR="00EA7A1C" w:rsidRDefault="00EA7A1C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</w:p>
    <w:p w14:paraId="5AF13202" w14:textId="0248151A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>Distribution of Funds (Non-EITC)</w:t>
      </w:r>
    </w:p>
    <w:p w14:paraId="39C075F4" w14:textId="3CD521F1" w:rsidR="00665D88" w:rsidRDefault="00E6462E" w:rsidP="00665D88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Dan cut check to Lackawanna College for student enrollment and to Greenwood School District for the Safety &amp; Security Project. He will also cut a check to Harrisburg University next week.</w:t>
      </w:r>
      <w:r w:rsidR="00665D88">
        <w:rPr>
          <w:color w:val="434343"/>
        </w:rPr>
        <w:t xml:space="preserve"> </w:t>
      </w:r>
    </w:p>
    <w:p w14:paraId="1D816974" w14:textId="77777777" w:rsidR="00F269C1" w:rsidRDefault="00F269C1" w:rsidP="00724D91">
      <w:pPr>
        <w:pStyle w:val="NormalWeb"/>
        <w:tabs>
          <w:tab w:val="left" w:pos="270"/>
          <w:tab w:val="right" w:pos="1890"/>
        </w:tabs>
      </w:pPr>
    </w:p>
    <w:p w14:paraId="1C2BA425" w14:textId="625C2E72" w:rsidR="00411A84" w:rsidRDefault="00411A84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411A84">
        <w:rPr>
          <w:b/>
          <w:color w:val="434343"/>
        </w:rPr>
        <w:t>Additional Board Members</w:t>
      </w:r>
    </w:p>
    <w:p w14:paraId="377E6724" w14:textId="77777777" w:rsidR="00BA5997" w:rsidRDefault="00BA5997" w:rsidP="00BA5997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Nomination Committee – will include Mike, Robin, Holly, Gil, and Dr. G.</w:t>
      </w:r>
    </w:p>
    <w:p w14:paraId="0747AD25" w14:textId="6532492B" w:rsidR="00BA5997" w:rsidRDefault="000D6405" w:rsidP="00BA5997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0D6405">
        <w:rPr>
          <w:color w:val="434343"/>
        </w:rPr>
        <w:t>Kristen</w:t>
      </w:r>
      <w:r w:rsidR="00BA5997" w:rsidRPr="000D6405">
        <w:rPr>
          <w:color w:val="434343"/>
        </w:rPr>
        <w:t xml:space="preserve"> Bardell volunteered</w:t>
      </w:r>
      <w:r w:rsidR="00BA5997">
        <w:rPr>
          <w:color w:val="434343"/>
        </w:rPr>
        <w:t xml:space="preserve"> to server on the Foundation, and there is no conflict with her current employer</w:t>
      </w:r>
      <w:r>
        <w:rPr>
          <w:color w:val="434343"/>
        </w:rPr>
        <w:t xml:space="preserve"> in her serving</w:t>
      </w:r>
      <w:r w:rsidR="00BA5997">
        <w:rPr>
          <w:color w:val="434343"/>
        </w:rPr>
        <w:t xml:space="preserve">. The Nominations Committee will reach out to her to </w:t>
      </w:r>
      <w:r w:rsidR="00BA5997" w:rsidRPr="00BA5997">
        <w:rPr>
          <w:color w:val="434343"/>
        </w:rPr>
        <w:t xml:space="preserve">discuss </w:t>
      </w:r>
      <w:r>
        <w:rPr>
          <w:color w:val="434343"/>
        </w:rPr>
        <w:t xml:space="preserve">her filling </w:t>
      </w:r>
      <w:r w:rsidR="00BA5997">
        <w:rPr>
          <w:color w:val="434343"/>
        </w:rPr>
        <w:t>a position on</w:t>
      </w:r>
      <w:r w:rsidR="00BA5997" w:rsidRPr="00BA5997">
        <w:rPr>
          <w:color w:val="434343"/>
        </w:rPr>
        <w:t xml:space="preserve"> the board of directors.</w:t>
      </w:r>
    </w:p>
    <w:p w14:paraId="0144FA99" w14:textId="4E4E7D19" w:rsidR="00411A84" w:rsidRDefault="00411A84" w:rsidP="00724D91">
      <w:pPr>
        <w:pStyle w:val="NormalWeb"/>
        <w:tabs>
          <w:tab w:val="left" w:pos="270"/>
          <w:tab w:val="right" w:pos="1890"/>
        </w:tabs>
      </w:pPr>
    </w:p>
    <w:p w14:paraId="2C1C4FAA" w14:textId="77777777" w:rsidR="00411A84" w:rsidRDefault="00411A84" w:rsidP="00411A84">
      <w:pPr>
        <w:pStyle w:val="NormalWeb"/>
        <w:rPr>
          <w:color w:val="434343"/>
        </w:rPr>
      </w:pPr>
      <w:r>
        <w:rPr>
          <w:b/>
          <w:color w:val="434343"/>
        </w:rPr>
        <w:t>NEW BUSINESS</w:t>
      </w:r>
    </w:p>
    <w:p w14:paraId="565D1B10" w14:textId="1F24E09A" w:rsidR="00411A84" w:rsidRDefault="00665D88" w:rsidP="00DE6E1D">
      <w:pPr>
        <w:pStyle w:val="NormalWeb"/>
        <w:rPr>
          <w:color w:val="434343"/>
        </w:rPr>
      </w:pPr>
      <w:r>
        <w:rPr>
          <w:color w:val="434343"/>
        </w:rPr>
        <w:t>No new business.</w:t>
      </w:r>
    </w:p>
    <w:p w14:paraId="4CE41EE9" w14:textId="77777777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4120647E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665D88">
        <w:rPr>
          <w:color w:val="434343"/>
        </w:rPr>
        <w:t>Robin</w:t>
      </w:r>
      <w:r>
        <w:rPr>
          <w:color w:val="434343"/>
        </w:rPr>
        <w:t xml:space="preserve"> moved to adjourn the meeting at </w:t>
      </w:r>
      <w:r w:rsidR="008C6B85">
        <w:rPr>
          <w:color w:val="434343"/>
        </w:rPr>
        <w:t>7</w:t>
      </w:r>
      <w:r>
        <w:rPr>
          <w:color w:val="434343"/>
        </w:rPr>
        <w:t>:</w:t>
      </w:r>
      <w:r w:rsidR="008C6B85">
        <w:rPr>
          <w:color w:val="434343"/>
        </w:rPr>
        <w:t>59</w:t>
      </w:r>
      <w:r>
        <w:rPr>
          <w:color w:val="434343"/>
        </w:rPr>
        <w:t xml:space="preserve"> p.m. </w:t>
      </w:r>
      <w:r w:rsidR="008C6B85">
        <w:rPr>
          <w:color w:val="434343"/>
        </w:rPr>
        <w:t>Gil</w:t>
      </w:r>
      <w:r>
        <w:rPr>
          <w:color w:val="434343"/>
        </w:rPr>
        <w:t xml:space="preserve"> seconded the motion. </w:t>
      </w:r>
      <w:r w:rsidR="00DE6E1D">
        <w:rPr>
          <w:color w:val="434343"/>
        </w:rPr>
        <w:br/>
      </w:r>
      <w:r>
        <w:rPr>
          <w:b/>
          <w:color w:val="434343"/>
        </w:rPr>
        <w:t>VOTED:</w:t>
      </w:r>
      <w:r>
        <w:rPr>
          <w:color w:val="434343"/>
        </w:rPr>
        <w:t xml:space="preserve"> </w:t>
      </w:r>
      <w:r w:rsidR="00665D88">
        <w:rPr>
          <w:color w:val="434343"/>
        </w:rPr>
        <w:t>8</w:t>
      </w:r>
      <w:r>
        <w:rPr>
          <w:color w:val="434343"/>
        </w:rPr>
        <w:t xml:space="preserve"> in favor, 0 opposed, </w:t>
      </w:r>
      <w:r w:rsidR="00665D88">
        <w:rPr>
          <w:color w:val="434343"/>
        </w:rPr>
        <w:t>2</w:t>
      </w:r>
      <w:r>
        <w:rPr>
          <w:color w:val="434343"/>
        </w:rPr>
        <w:t xml:space="preserve"> absent. The motion passed.</w:t>
      </w:r>
    </w:p>
    <w:p w14:paraId="4270E04F" w14:textId="77777777" w:rsidR="00411A84" w:rsidRDefault="00411A84" w:rsidP="00411A84">
      <w:pPr>
        <w:pStyle w:val="NormalWeb"/>
        <w:rPr>
          <w:color w:val="434343"/>
        </w:rPr>
      </w:pPr>
    </w:p>
    <w:p w14:paraId="7F5A0811" w14:textId="7B25EEA7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E6462E">
        <w:rPr>
          <w:color w:val="434343"/>
        </w:rPr>
        <w:t>June</w:t>
      </w:r>
      <w:r>
        <w:rPr>
          <w:color w:val="434343"/>
        </w:rPr>
        <w:t xml:space="preserve"> </w:t>
      </w:r>
      <w:r w:rsidR="008C6B85">
        <w:rPr>
          <w:color w:val="434343"/>
        </w:rPr>
        <w:t>8</w:t>
      </w:r>
      <w:r>
        <w:rPr>
          <w:color w:val="434343"/>
        </w:rPr>
        <w:t xml:space="preserve">, 2021 at 7:00 p.m. </w:t>
      </w:r>
      <w:r w:rsidR="00665D88">
        <w:rPr>
          <w:color w:val="434343"/>
        </w:rPr>
        <w:t>We will send</w:t>
      </w:r>
      <w:r>
        <w:rPr>
          <w:color w:val="434343"/>
        </w:rPr>
        <w:t xml:space="preserve"> Microsoft Team or Zoom link.</w:t>
      </w:r>
      <w:r>
        <w:rPr>
          <w:color w:val="434343"/>
        </w:rPr>
        <w:br/>
      </w:r>
      <w:r>
        <w:rPr>
          <w:color w:val="434343"/>
        </w:rPr>
        <w:br/>
      </w:r>
    </w:p>
    <w:p w14:paraId="3BF47E6B" w14:textId="77777777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Respectfully Submitted, </w:t>
      </w:r>
    </w:p>
    <w:p w14:paraId="2DA2ADA8" w14:textId="77777777" w:rsidR="00411A84" w:rsidRDefault="00411A84" w:rsidP="00411A84">
      <w:pPr>
        <w:pStyle w:val="NormalWeb"/>
        <w:rPr>
          <w:color w:val="434343"/>
        </w:rPr>
      </w:pPr>
    </w:p>
    <w:p w14:paraId="342206CB" w14:textId="5CCCC626" w:rsidR="00411A84" w:rsidRPr="00E6462E" w:rsidRDefault="00411A84" w:rsidP="00E6462E">
      <w:pPr>
        <w:pStyle w:val="NormalWeb"/>
        <w:rPr>
          <w:color w:val="434343"/>
        </w:rPr>
      </w:pPr>
      <w:r>
        <w:rPr>
          <w:color w:val="434343"/>
        </w:rPr>
        <w:lastRenderedPageBreak/>
        <w:br/>
        <w:t>Holly Gorman, Secretary</w:t>
      </w:r>
    </w:p>
    <w:sectPr w:rsidR="00411A84" w:rsidRPr="00E6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9"/>
    <w:rsid w:val="000D6405"/>
    <w:rsid w:val="000D6EC6"/>
    <w:rsid w:val="001A1DC6"/>
    <w:rsid w:val="001C5DAA"/>
    <w:rsid w:val="00316011"/>
    <w:rsid w:val="00331346"/>
    <w:rsid w:val="00381CE8"/>
    <w:rsid w:val="003A5CAE"/>
    <w:rsid w:val="003F1E38"/>
    <w:rsid w:val="00411A84"/>
    <w:rsid w:val="00607FAB"/>
    <w:rsid w:val="00665D88"/>
    <w:rsid w:val="00705527"/>
    <w:rsid w:val="00724D91"/>
    <w:rsid w:val="00733123"/>
    <w:rsid w:val="007E56BF"/>
    <w:rsid w:val="008C6B85"/>
    <w:rsid w:val="00B335F4"/>
    <w:rsid w:val="00BA5997"/>
    <w:rsid w:val="00BD4429"/>
    <w:rsid w:val="00C16788"/>
    <w:rsid w:val="00C36BB0"/>
    <w:rsid w:val="00CC7AD5"/>
    <w:rsid w:val="00CE7E48"/>
    <w:rsid w:val="00DB41C3"/>
    <w:rsid w:val="00DE6E1D"/>
    <w:rsid w:val="00E609D1"/>
    <w:rsid w:val="00E6462E"/>
    <w:rsid w:val="00EA7A1C"/>
    <w:rsid w:val="00EB7880"/>
    <w:rsid w:val="00F269C1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chartTrackingRefBased/>
  <w15:docId w15:val="{86972477-224B-4E9F-92DE-687D7014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Gorman, Holly (PA)</cp:lastModifiedBy>
  <cp:revision>9</cp:revision>
  <dcterms:created xsi:type="dcterms:W3CDTF">2021-04-21T23:02:00Z</dcterms:created>
  <dcterms:modified xsi:type="dcterms:W3CDTF">2021-06-07T15:11:00Z</dcterms:modified>
</cp:coreProperties>
</file>